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2"/>
        <w:keepNext w:val="true"/>
        <w:keepLines/>
        <w:spacing w:before="0" w:after="0"/>
        <w:ind w:left="0" w:hanging="0"/>
        <w:jc w:val="center"/>
        <w:rPr>
          <w:b/>
          <w:b/>
          <w:bCs/>
        </w:rPr>
      </w:pPr>
      <w:bookmarkStart w:id="0" w:name="bookmark0"/>
      <w:r>
        <w:rPr>
          <w:b/>
          <w:bCs/>
        </w:rPr>
        <w:t>ФИНАНСОВО-ЭКОНОМИЧЕСКОЕ ОБОСНОВАНИЕ</w:t>
      </w:r>
      <w:bookmarkEnd w:id="0"/>
    </w:p>
    <w:p>
      <w:pPr>
        <w:pStyle w:val="32"/>
        <w:keepNext w:val="true"/>
        <w:keepLines/>
        <w:spacing w:before="0" w:after="380"/>
        <w:ind w:left="0" w:hanging="0"/>
        <w:jc w:val="center"/>
        <w:rPr>
          <w:b/>
          <w:b/>
          <w:bCs/>
        </w:rPr>
      </w:pPr>
      <w:bookmarkStart w:id="1" w:name="bookmark2"/>
      <w:r>
        <w:rPr>
          <w:b/>
          <w:bCs/>
        </w:rPr>
        <w:t>приходно-расходной сметы СНТ «КП «Европа» на 2022 год</w:t>
      </w:r>
      <w:bookmarkEnd w:id="1"/>
    </w:p>
    <w:p>
      <w:pPr>
        <w:pStyle w:val="32"/>
        <w:keepNext w:val="true"/>
        <w:keepLines/>
        <w:spacing w:before="0" w:after="380"/>
        <w:ind w:left="0" w:hanging="0"/>
        <w:jc w:val="center"/>
        <w:rPr>
          <w:b/>
          <w:b/>
          <w:bCs/>
        </w:rPr>
      </w:pPr>
      <w:r>
        <w:rPr>
          <w:b/>
          <w:bCs/>
        </w:rPr>
        <w:t>проект</w:t>
      </w:r>
    </w:p>
    <w:p>
      <w:pPr>
        <w:pStyle w:val="22"/>
        <w:keepNext w:val="true"/>
        <w:keepLines/>
        <w:spacing w:before="0" w:after="280"/>
        <w:rPr>
          <w:b/>
          <w:b/>
          <w:bCs/>
        </w:rPr>
      </w:pPr>
      <w:bookmarkStart w:id="2" w:name="bookmark4"/>
      <w:r>
        <w:rPr>
          <w:b/>
          <w:bCs/>
          <w:color w:val="000000"/>
        </w:rPr>
        <w:t>ВВЕДЕНИЕ</w:t>
      </w:r>
      <w:bookmarkEnd w:id="2"/>
    </w:p>
    <w:p>
      <w:pPr>
        <w:pStyle w:val="11"/>
        <w:spacing w:before="0" w:after="0"/>
        <w:ind w:firstLine="454"/>
        <w:jc w:val="both"/>
        <w:rPr/>
      </w:pPr>
      <w:r>
        <w:rPr/>
        <w:t>СНТ КП «Европа» является юридическим лицом, подтвержденным Государственной регистрацией в порядке, предусмотренном федеральным законом о государственной регистрации юридических лиц.</w:t>
      </w:r>
    </w:p>
    <w:p>
      <w:pPr>
        <w:pStyle w:val="11"/>
        <w:spacing w:before="0" w:after="0"/>
        <w:ind w:firstLine="454"/>
        <w:jc w:val="both"/>
        <w:rPr/>
      </w:pPr>
      <w:r>
        <w:rPr/>
        <w:t>Как юридическое лицо, СНТ обязано исполнять Законодательство Российской Федерации, в том числе Постановления Правительства РФ, Правительства Свердловской области, иные распоряжения органов местного самоуправления Муниципальной власти.</w:t>
      </w:r>
    </w:p>
    <w:p>
      <w:pPr>
        <w:pStyle w:val="11"/>
        <w:spacing w:before="0" w:after="0"/>
        <w:ind w:firstLine="454"/>
        <w:jc w:val="both"/>
        <w:rPr/>
      </w:pPr>
      <w:r>
        <w:rPr/>
        <w:t>Деятельность СНТ подотчетна перед органами государственной власти РФ, Налоговыми органами РФ, Пенсионным Фондом РФ, Фондом Социального Страхования РФ, Федеральным органом ОМС, МЧС, Федеральной службы по экологическому, технологическому и атомному надзору и других органов, регулирующих деятельность юридических лиц. Подотчетность перед указанными органами предусматривает предоставление отчетов с различной периодичностью не только по финансовым вопросам, но и по обороту земель, обороту отходов, соблюдению земельного Законодательства, соблюдению Лесного кодекса, противопожарных мер и мер по охране природы и труда работников.</w:t>
      </w:r>
    </w:p>
    <w:p>
      <w:pPr>
        <w:pStyle w:val="11"/>
        <w:spacing w:before="0" w:after="0"/>
        <w:ind w:firstLine="454"/>
        <w:jc w:val="both"/>
        <w:rPr/>
      </w:pPr>
      <w:r>
        <w:rPr/>
        <w:t xml:space="preserve">В вопросах надлежащего содержания имущества общего назначения СНТ должно руководствоваться Законодательством Российской Федерации, что накладывает обязательства на всех собственников земельных участков в границах территории СНТ по финансированию необходимых работ на территории </w:t>
      </w:r>
      <w:bookmarkStart w:id="3" w:name="__DdeLink__990_615555686"/>
      <w:r>
        <w:rPr/>
        <w:t>СНТ</w:t>
      </w:r>
      <w:bookmarkEnd w:id="3"/>
      <w:r>
        <w:rPr/>
        <w:t xml:space="preserve"> и оплате труда нанятых работников для обеспечения выполнения необходимых работ.</w:t>
      </w:r>
    </w:p>
    <w:p>
      <w:pPr>
        <w:pStyle w:val="11"/>
        <w:spacing w:before="0" w:after="0"/>
        <w:ind w:firstLine="454"/>
        <w:jc w:val="both"/>
        <w:rPr/>
      </w:pPr>
      <w:r>
        <w:rPr/>
        <w:t>Настоящее Финансово-экономическое обоснование является неотъемлемой частью Проекта приходно-расходной сметы СНТ КП  «Европа» на 2022 год, подготовлено в соответствии с п.8 ст.14, пп.22 п.1 ст.17, пп.15 п.1 ст.15 ФЗ-217 от 01.01.2019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>
      <w:pPr>
        <w:pStyle w:val="11"/>
        <w:spacing w:before="0" w:after="0"/>
        <w:ind w:firstLine="454"/>
        <w:jc w:val="both"/>
        <w:rPr/>
      </w:pPr>
      <w:r>
        <w:rPr/>
        <w:t>Все данные, а также стоимостные величины в данном документе взяты из открытых источников в сети интернет, а также исходя из сложившейся практики реализации приходно-расходной сметы в 2021 году в СНТ КП «Европа».</w:t>
      </w:r>
    </w:p>
    <w:p>
      <w:pPr>
        <w:pStyle w:val="11"/>
        <w:spacing w:before="0" w:after="280"/>
        <w:ind w:firstLine="454"/>
        <w:jc w:val="both"/>
        <w:rPr/>
      </w:pPr>
      <w:r>
        <w:rPr/>
        <w:t xml:space="preserve">Размер членского взноса, равно как и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СНТ, за услуги и работы товарищества по управлению таким имуществом (далее плату согласно п.3 ст.5 ФЗ-217 от 01.01.2019) рассчитан как тариф за округленные до целых за одну сотку площади земельного участка, находящегося в границах территории СНТ и не зависит от количества участков, находящихся в собственности одного правообладателя - физического лица. 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Финансово-экономическое обоснование лежит в основе приходно-расходной сметы </w:t>
      </w:r>
      <w:r>
        <w:rPr>
          <w:rFonts w:eastAsia="Times New Roman" w:cs="Times New Roman" w:ascii="Times New Roman" w:hAnsi="Times New Roman"/>
          <w:sz w:val="22"/>
          <w:szCs w:val="22"/>
        </w:rPr>
        <w:t>СНТ</w:t>
      </w:r>
      <w:r>
        <w:rPr>
          <w:rFonts w:cs="Times New Roman" w:ascii="Times New Roman" w:hAnsi="Times New Roman"/>
        </w:rPr>
        <w:t xml:space="preserve"> и не может быть использовано в обоснование снижения стоимости тарифа для отдельных правообладателей земельных участков в границах территории </w:t>
      </w:r>
      <w:r>
        <w:rPr>
          <w:rFonts w:eastAsia="Times New Roman" w:cs="Times New Roman" w:ascii="Times New Roman" w:hAnsi="Times New Roman"/>
          <w:sz w:val="22"/>
          <w:szCs w:val="22"/>
        </w:rPr>
        <w:t>СНТ</w:t>
      </w:r>
      <w:r>
        <w:rPr>
          <w:rFonts w:cs="Times New Roman" w:ascii="Times New Roman" w:hAnsi="Times New Roman"/>
        </w:rPr>
        <w:t xml:space="preserve"> КП «Европа» под предлогом неиспользования или отсутствия необходимости использования тех или иных коммунальных услуг. </w:t>
      </w:r>
    </w:p>
    <w:p>
      <w:pPr>
        <w:pStyle w:val="Style35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  <w:r>
        <w:br w:type="page"/>
      </w:r>
    </w:p>
    <w:tbl>
      <w:tblPr>
        <w:tblW w:w="11049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16"/>
        <w:gridCol w:w="4800"/>
        <w:gridCol w:w="2"/>
        <w:gridCol w:w="1472"/>
        <w:gridCol w:w="1298"/>
        <w:gridCol w:w="1393"/>
        <w:gridCol w:w="6"/>
        <w:gridCol w:w="6"/>
        <w:gridCol w:w="1455"/>
      </w:tblGrid>
      <w:tr>
        <w:trPr>
          <w:trHeight w:val="298" w:hRule="exact"/>
        </w:trPr>
        <w:tc>
          <w:tcPr>
            <w:tcW w:w="1104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9"/>
              <w:keepNext w:val="true"/>
              <w:pageBreakBefore/>
              <w:spacing w:lineRule="auto" w:line="240" w:before="0" w:after="0"/>
              <w:ind w:hanging="0"/>
              <w:jc w:val="center"/>
              <w:rPr/>
            </w:pPr>
            <w:r>
              <w:rPr>
                <w:rFonts w:ascii="Calibri" w:hAnsi="Calibri"/>
                <w:sz w:val="20"/>
                <w:szCs w:val="20"/>
              </w:rPr>
              <w:t>Планируемые доходы в 2022 году</w:t>
            </w:r>
          </w:p>
        </w:tc>
      </w:tr>
      <w:tr>
        <w:trPr>
          <w:trHeight w:val="1243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firstLine="20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№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Планируемое поступление от членов СНТ и садоводов без участия в Товариществе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Сумма взноса на 2022 год с за одну сотку/участок руб/мес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Кол-во соток/участков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Сумма, руб.</w:t>
            </w:r>
          </w:p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месяц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52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Итого поступления, руб./год</w:t>
            </w:r>
          </w:p>
        </w:tc>
      </w:tr>
      <w:tr>
        <w:trPr>
          <w:trHeight w:val="334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firstLine="28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Членский взнос/платеж 202</w:t>
            </w:r>
            <w:r>
              <w:rPr>
                <w:rFonts w:eastAsia="Calibri" w:cs="Calibri" w:ascii="Calibri" w:hAnsi="Calibri"/>
                <w:sz w:val="20"/>
                <w:szCs w:val="20"/>
                <w:lang w:val="en-US"/>
              </w:rPr>
              <w:t>2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год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92D14F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150,00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color="auto" w:fill="C6E0B3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2550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382 500</w:t>
            </w:r>
            <w:r>
              <w:rPr>
                <w:rFonts w:ascii="Calibri" w:hAnsi="Calibri"/>
                <w:sz w:val="20"/>
                <w:szCs w:val="20"/>
              </w:rPr>
              <w:t>,00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4 590 000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,00</w:t>
            </w:r>
          </w:p>
        </w:tc>
      </w:tr>
      <w:tr>
        <w:trPr>
          <w:trHeight w:val="540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firstLine="280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Планируемое погашение дебиторской задолженности, руб.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50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0"/>
                <w:szCs w:val="20"/>
                <w:lang w:val="en-US" w:eastAsia="ru-RU" w:bidi="ru-RU"/>
              </w:rPr>
              <w:t>1 000 000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,00</w:t>
            </w:r>
          </w:p>
        </w:tc>
      </w:tr>
      <w:tr>
        <w:trPr>
          <w:trHeight w:val="540" w:hRule="exact"/>
        </w:trPr>
        <w:tc>
          <w:tcPr>
            <w:tcW w:w="616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firstLine="280"/>
              <w:rPr>
                <w:rFonts w:ascii="Calibri" w:hAnsi="Calibri" w:eastAsia="Times New Roman" w:cs="Times New Roman"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3</w:t>
            </w:r>
          </w:p>
        </w:tc>
        <w:tc>
          <w:tcPr>
            <w:tcW w:w="4800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Планируемый доход с продажи земельных участков СНТ, руб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98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393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50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2 150 000,00</w:t>
            </w:r>
          </w:p>
        </w:tc>
      </w:tr>
      <w:tr>
        <w:trPr>
          <w:trHeight w:val="350" w:hRule="exact"/>
        </w:trPr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Итого доходная часть</w:t>
            </w:r>
          </w:p>
        </w:tc>
        <w:tc>
          <w:tcPr>
            <w:tcW w:w="416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92D14F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jc w:val="center"/>
              <w:rPr>
                <w:rFonts w:ascii="Calibri" w:hAnsi="Calibri" w:eastAsia="Calibri" w:cs="Calibri"/>
                <w:b/>
                <w:b/>
                <w:bCs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0"/>
                <w:szCs w:val="20"/>
                <w:lang w:val="ru-RU" w:eastAsia="ru-RU" w:bidi="ru-RU"/>
              </w:rPr>
              <w:t>7 740 000,00</w:t>
            </w:r>
          </w:p>
        </w:tc>
      </w:tr>
      <w:tr>
        <w:trPr>
          <w:trHeight w:val="394" w:hRule="exact"/>
        </w:trPr>
        <w:tc>
          <w:tcPr>
            <w:tcW w:w="1104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/>
            </w:pPr>
            <w:r>
              <w:rPr>
                <w:rFonts w:ascii="Calibri" w:hAnsi="Calibri"/>
                <w:sz w:val="20"/>
                <w:szCs w:val="20"/>
              </w:rPr>
              <w:t>Планируемые расходы в 202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 xml:space="preserve"> году</w:t>
            </w:r>
          </w:p>
        </w:tc>
      </w:tr>
      <w:tr>
        <w:trPr>
          <w:trHeight w:val="379" w:hRule="exact"/>
        </w:trPr>
        <w:tc>
          <w:tcPr>
            <w:tcW w:w="9593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ЧЛЕНСКИЕ ВЗНОСЫ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92D14F" w:val="clear"/>
            <w:vAlign w:val="center"/>
          </w:tcPr>
          <w:p>
            <w:pPr>
              <w:pStyle w:val="Style29"/>
              <w:spacing w:lineRule="auto" w:line="240" w:before="0" w:after="0"/>
              <w:ind w:firstLine="140"/>
              <w:rPr>
                <w:rFonts w:ascii="Calibri" w:hAnsi="Calibri" w:eastAsia="Calibri" w:cs="Calibri"/>
                <w:b/>
                <w:b/>
                <w:bCs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0"/>
                <w:szCs w:val="20"/>
                <w:lang w:val="ru-RU" w:eastAsia="ru-RU" w:bidi="ru-RU"/>
              </w:rPr>
              <w:t>4 590 000,00</w:t>
            </w:r>
          </w:p>
        </w:tc>
      </w:tr>
      <w:tr>
        <w:trPr>
          <w:trHeight w:val="619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firstLine="28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РАСХОДЫ НА СОТРУДНИКОВ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28" w:before="0" w:after="0"/>
              <w:ind w:firstLine="14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Сумма в месяц, руб.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Кол-во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28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Периодичность,  мес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Style29"/>
              <w:spacing w:lineRule="auto" w:line="240" w:before="0" w:after="0"/>
              <w:ind w:firstLine="140"/>
              <w:rPr>
                <w:rFonts w:ascii="Calibri" w:hAnsi="Calibri" w:eastAsia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897 926,88</w:t>
            </w:r>
          </w:p>
        </w:tc>
      </w:tr>
      <w:tr>
        <w:trPr>
          <w:trHeight w:val="528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1.1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Вознаграждение председателя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(после вычета НДФЛ)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50 00000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12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600 000,00</w:t>
            </w:r>
          </w:p>
        </w:tc>
      </w:tr>
      <w:tr>
        <w:trPr>
          <w:trHeight w:val="450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1.</w:t>
            </w:r>
            <w:r>
              <w:rPr>
                <w:rFonts w:eastAsia="Calibri" w:cs="Calibri" w:ascii="Calibri" w:hAnsi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18" w:before="0" w:after="0"/>
              <w:ind w:hanging="0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Начисление налогов по оплате вознаграждения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(с учетом НДФЛ)</w:t>
            </w:r>
          </w:p>
          <w:p>
            <w:pPr>
              <w:pStyle w:val="Style29"/>
              <w:spacing w:lineRule="auto" w:line="218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24 827,24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12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297 926,88</w:t>
            </w:r>
          </w:p>
        </w:tc>
      </w:tr>
      <w:tr>
        <w:trPr>
          <w:trHeight w:val="658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before="0" w:after="22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РАСХОДЫ НА ВЕДЕНИЕ ДЕЯТЕЛЬНОСТИ СНТ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firstLine="38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Цена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Количество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Периодичность, мес/год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Style29"/>
              <w:spacing w:lineRule="auto" w:line="240" w:before="0" w:after="0"/>
              <w:ind w:firstLine="140"/>
              <w:rPr/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lang w:val="en-US"/>
              </w:rPr>
              <w:t>1 4</w:t>
            </w: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82</w:t>
            </w: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lang w:val="en-US"/>
              </w:rPr>
              <w:t xml:space="preserve"> 000,00</w:t>
            </w:r>
          </w:p>
        </w:tc>
      </w:tr>
      <w:tr>
        <w:trPr>
          <w:trHeight w:val="519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sz w:val="20"/>
                <w:szCs w:val="20"/>
                <w:lang w:val="en-US"/>
              </w:rPr>
              <w:t>2.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9"/>
              <w:spacing w:lineRule="auto" w:line="480" w:before="114" w:after="114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Ведение бухгалтерского учета. Договор с ИП/ООО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20 000,00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240 000,00</w:t>
            </w:r>
          </w:p>
        </w:tc>
      </w:tr>
      <w:tr>
        <w:trPr>
          <w:trHeight w:val="519" w:hRule="exact"/>
        </w:trPr>
        <w:tc>
          <w:tcPr>
            <w:tcW w:w="616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</w:t>
            </w:r>
          </w:p>
        </w:tc>
        <w:tc>
          <w:tcPr>
            <w:tcW w:w="480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480" w:before="114" w:after="114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Ноутбук для бухгалтерии (хранение и ведение базы 1с)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72 000,00</w:t>
            </w:r>
          </w:p>
        </w:tc>
        <w:tc>
          <w:tcPr>
            <w:tcW w:w="1298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72 000,00</w:t>
            </w:r>
          </w:p>
        </w:tc>
      </w:tr>
      <w:tr>
        <w:trPr>
          <w:trHeight w:val="1080" w:hRule="exac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2.3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Юридическое обслуживание. Сопровождение деятельности товарищества, в том числе, претензионная работа с должниками. Договор с ИП/ООО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25 000,00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300 000,00</w:t>
            </w:r>
          </w:p>
        </w:tc>
      </w:tr>
      <w:tr>
        <w:trPr>
          <w:trHeight w:val="450" w:hRule="exac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2.4 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Юридические услуги по судебным делам с должникам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30 000,00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150 000,00</w:t>
            </w:r>
          </w:p>
        </w:tc>
      </w:tr>
      <w:tr>
        <w:trPr>
          <w:trHeight w:val="615" w:hRule="exac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Охрана контрольно-пропускного пункта при въезде в поселок. Договор с частным охранным предприятием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60 000,00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720 000,00</w:t>
            </w:r>
          </w:p>
        </w:tc>
      </w:tr>
      <w:tr>
        <w:trPr>
          <w:trHeight w:val="750" w:hRule="exac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Style29"/>
              <w:spacing w:lineRule="auto" w:line="240" w:before="0" w:after="0"/>
              <w:ind w:firstLine="560"/>
              <w:rPr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РАСХОДЫ НА СОДЕРЖАНИЕ ТЕРРИТОРИИ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Style29"/>
              <w:spacing w:lineRule="auto" w:line="240" w:before="0" w:after="0"/>
              <w:ind w:firstLine="380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Цена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Количество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Периодичность, мес/год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6EF" w:val="clear"/>
            <w:vAlign w:val="center"/>
          </w:tcPr>
          <w:p>
            <w:pPr>
              <w:pStyle w:val="Style29"/>
              <w:spacing w:lineRule="auto" w:line="240" w:before="0" w:after="0"/>
              <w:ind w:firstLine="140"/>
              <w:rPr/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lang w:val="en-US"/>
              </w:rPr>
              <w:t xml:space="preserve">1 </w:t>
            </w: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0"/>
                <w:szCs w:val="20"/>
                <w:lang w:val="en-US" w:eastAsia="ru-RU" w:bidi="ru-RU"/>
              </w:rPr>
              <w:t>496 400,00</w:t>
            </w:r>
          </w:p>
        </w:tc>
      </w:tr>
      <w:tr>
        <w:trPr>
          <w:trHeight w:val="1755" w:hRule="exac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Общественная дорога внутри СНТ-                                           (Ч</w:t>
            </w:r>
            <w:r>
              <w:rPr>
                <w:rFonts w:ascii="Calibri" w:hAnsi="Calibri"/>
                <w:sz w:val="20"/>
                <w:szCs w:val="20"/>
              </w:rPr>
              <w:t>истка внутрипоселковой дороги от снега (3 мес.в году, 2 раза в месяц, 6 часа по 2300р/час) Грейдер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0"/>
                <w:szCs w:val="20"/>
              </w:rPr>
              <w:t>Дополнительная чистка дорог и въездов на участки от снега (3 мес. в году, 2 раза в месяц,6 часов по 1600р/час) JSB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11 700,00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6 часов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2/6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140 400,00</w:t>
            </w:r>
          </w:p>
        </w:tc>
      </w:tr>
      <w:tr>
        <w:trPr>
          <w:trHeight w:val="2100" w:hRule="exac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true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3.2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Затраты на текущее содержание общего имущества: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ремонт помещения КПП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ремонт площадки ТБО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отсыпка внутрипоселковых и прилегающих дорог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замена ламп уличного освещения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обслуживание игровых комплексов детской площадки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обслуживание грузовых ворот и шлагбаума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топливо для бензогенератора будки охраны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40 000,00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480 000,00</w:t>
            </w:r>
          </w:p>
        </w:tc>
      </w:tr>
    </w:tbl>
    <w:p>
      <w:pPr>
        <w:pStyle w:val="Normal"/>
        <w:spacing w:lineRule="exact" w:line="1" w:before="0" w:after="280"/>
        <w:ind w:left="1240" w:firstLine="460"/>
        <w:jc w:val="both"/>
        <w:rPr/>
      </w:pPr>
      <w:r>
        <w:rPr/>
        <w:t>впрв</w:t>
      </w:r>
      <w:r>
        <w:br w:type="page"/>
      </w:r>
    </w:p>
    <w:tbl>
      <w:tblPr>
        <w:tblW w:w="11220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12"/>
        <w:gridCol w:w="5150"/>
        <w:gridCol w:w="1351"/>
        <w:gridCol w:w="1179"/>
        <w:gridCol w:w="1395"/>
        <w:gridCol w:w="1532"/>
      </w:tblGrid>
      <w:tr>
        <w:trPr>
          <w:trHeight w:val="542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pageBreakBefore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3.3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28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Расходные материалы для обслуживания подстанций в весенне-осенний период.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75 000,00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150 000,00</w:t>
            </w:r>
          </w:p>
        </w:tc>
      </w:tr>
      <w:tr>
        <w:trPr>
          <w:trHeight w:val="598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3.4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highlight w:val="yellow"/>
              </w:rPr>
            </w:pPr>
            <w:bookmarkStart w:id="4" w:name="_Hlk62044765"/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Скос травы по дренажным канавам, протяженность дренажных канав </w:t>
            </w:r>
            <w:bookmarkEnd w:id="4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Times New Roman" w:cs="Calibri" w:cstheme="minorHAnsi"/>
                <w:color w:val="000000"/>
                <w:kern w:val="0"/>
                <w:sz w:val="20"/>
                <w:szCs w:val="20"/>
                <w:highlight w:val="yellow"/>
                <w:lang w:val="ru-RU" w:eastAsia="ru-RU" w:bidi="ru-RU"/>
              </w:rPr>
            </w:pPr>
            <w:r>
              <w:rPr>
                <w:rFonts w:eastAsia="Times New Roman" w:cs="Calibri" w:ascii="Calibri" w:hAnsi="Calibri" w:cstheme="minorHAnsi"/>
                <w:color w:val="000000"/>
                <w:kern w:val="0"/>
                <w:sz w:val="20"/>
                <w:szCs w:val="20"/>
                <w:lang w:val="ru-RU" w:eastAsia="ru-RU" w:bidi="ru-RU"/>
              </w:rPr>
              <w:t>216 000,00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highlight w:val="yellow"/>
              </w:rPr>
            </w:pPr>
            <w:r>
              <w:rPr>
                <w:rFonts w:eastAsia="Times New Roman" w:cs="Calibri" w:ascii="Calibri" w:hAnsi="Calibri" w:cstheme="minorHAnsi"/>
                <w:color w:val="000000"/>
                <w:kern w:val="0"/>
                <w:sz w:val="20"/>
                <w:szCs w:val="20"/>
                <w:lang w:val="ru-RU" w:eastAsia="ru-RU" w:bidi="ru-RU"/>
              </w:rPr>
              <w:t>216 000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>,00</w:t>
            </w:r>
          </w:p>
        </w:tc>
      </w:tr>
      <w:tr>
        <w:trPr>
          <w:trHeight w:val="450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3.5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Вывоз мусора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en-US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  <w:lang w:val="en-US"/>
              </w:rPr>
              <w:t>2 500,00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 w:eastAsia="Calibri" w:cs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  <w:lang w:val="en-US"/>
              </w:rPr>
              <w:t>30 000,00</w:t>
            </w:r>
          </w:p>
        </w:tc>
      </w:tr>
      <w:tr>
        <w:trPr>
          <w:trHeight w:val="341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3.6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Замена шлагбаума на центральном въезде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150 000,00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150 000,00</w:t>
            </w:r>
          </w:p>
        </w:tc>
      </w:tr>
      <w:tr>
        <w:trPr>
          <w:trHeight w:val="603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3.7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Ремонт корабля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150 000,00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150 000,00</w:t>
            </w:r>
          </w:p>
        </w:tc>
      </w:tr>
      <w:tr>
        <w:trPr>
          <w:trHeight w:val="570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3.8</w:t>
            </w:r>
          </w:p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Оплата уличного освещения по прибору учета. 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Предположительно  по нормативам г. Екатеринбурга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15 000,00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 w:cs="Calibri" w:cs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180 000,00</w:t>
            </w:r>
          </w:p>
        </w:tc>
      </w:tr>
      <w:tr>
        <w:trPr>
          <w:trHeight w:val="542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firstLine="280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РАСХОДЫ ОБЩЕХОЗЯЙСТВЕННЫЕ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firstLine="4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Цена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Количество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Периодичность, мес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Calibri" w:cs="Calibri" w:cstheme="minorHAnsi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521 673,12</w:t>
            </w:r>
          </w:p>
        </w:tc>
      </w:tr>
      <w:tr>
        <w:trPr>
          <w:trHeight w:val="466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Услуги банка (обслуживание расчетного счета)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28 000,00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28 000,00</w:t>
            </w:r>
          </w:p>
        </w:tc>
      </w:tr>
      <w:tr>
        <w:trPr>
          <w:trHeight w:val="355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4.2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Заправки картриджей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600,00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7 200,00</w:t>
            </w:r>
          </w:p>
        </w:tc>
      </w:tr>
      <w:tr>
        <w:trPr>
          <w:trHeight w:val="348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4.3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Электронная Бух отчетность (стоимость за год)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7 500,00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7 500,00</w:t>
            </w:r>
          </w:p>
        </w:tc>
      </w:tr>
      <w:tr>
        <w:trPr>
          <w:trHeight w:val="341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4.4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Сайт-доменное имя+хостинг (ст-ть за год)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5 000,00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5 000,00</w:t>
            </w:r>
          </w:p>
        </w:tc>
      </w:tr>
      <w:tr>
        <w:trPr>
          <w:trHeight w:val="402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Информационное наполнение сайта, новости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3 400</w:t>
            </w:r>
            <w:r>
              <w:rPr>
                <w:rFonts w:ascii="Calibri" w:hAnsi="Calibri"/>
                <w:sz w:val="20"/>
                <w:szCs w:val="20"/>
              </w:rPr>
              <w:t>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/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00,00</w:t>
            </w:r>
          </w:p>
        </w:tc>
      </w:tr>
      <w:tr>
        <w:trPr>
          <w:trHeight w:val="397" w:hRule="exact"/>
        </w:trPr>
        <w:tc>
          <w:tcPr>
            <w:tcW w:w="612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4.6</w:t>
            </w:r>
          </w:p>
        </w:tc>
        <w:tc>
          <w:tcPr>
            <w:tcW w:w="5150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Канцелярские товары</w:t>
            </w:r>
          </w:p>
        </w:tc>
        <w:tc>
          <w:tcPr>
            <w:tcW w:w="1351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1 000,00</w:t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12 000,00</w:t>
            </w:r>
          </w:p>
        </w:tc>
      </w:tr>
      <w:tr>
        <w:trPr>
          <w:trHeight w:val="390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4.7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Судебные расходы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350,00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150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60 000,00</w:t>
            </w:r>
          </w:p>
        </w:tc>
      </w:tr>
      <w:tr>
        <w:trPr>
          <w:trHeight w:val="465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4.8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Программа 1С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2 300,00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2 300,00</w:t>
            </w:r>
          </w:p>
        </w:tc>
      </w:tr>
      <w:tr>
        <w:trPr>
          <w:trHeight w:val="450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4.9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Финансовый резерв, непредвиденные расходы </w:t>
            </w:r>
          </w:p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Calibri" w:cs="Calibri" w:cstheme="minorHAnsi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30 472,76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ru-RU" w:eastAsia="ru-RU" w:bidi="ru-RU"/>
              </w:rPr>
            </w:pPr>
            <w:r>
              <w:rPr>
                <w:rFonts w:eastAsia="Calibri" w:cs="Calibri" w:cstheme="minorHAnsi" w:ascii="Calibri" w:hAnsi="Calibri"/>
                <w:color w:val="000000"/>
                <w:kern w:val="0"/>
                <w:sz w:val="20"/>
                <w:szCs w:val="20"/>
                <w:lang w:val="ru-RU" w:eastAsia="ru-RU" w:bidi="ru-RU"/>
              </w:rPr>
              <w:t>365 673,12</w:t>
            </w:r>
          </w:p>
        </w:tc>
      </w:tr>
      <w:tr>
        <w:trPr>
          <w:trHeight w:val="576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firstLine="280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b/>
                <w:bCs/>
                <w:sz w:val="20"/>
                <w:szCs w:val="20"/>
              </w:rPr>
              <w:t>НАЛОГИ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firstLine="4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Цена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Количество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color="auto" w:fill="DDEBF6" w:val="clear"/>
            <w:vAlign w:val="center"/>
          </w:tcPr>
          <w:p>
            <w:pPr>
              <w:pStyle w:val="Style29"/>
              <w:spacing w:lineRule="auto" w:line="240" w:before="0" w:after="0"/>
              <w:ind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Периодичность, мес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jc w:val="center"/>
              <w:rPr>
                <w:rFonts w:ascii="Calibri" w:hAnsi="Calibri"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192 000,00</w:t>
            </w:r>
          </w:p>
        </w:tc>
      </w:tr>
      <w:tr>
        <w:trPr>
          <w:trHeight w:val="1282" w:hRule="exac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20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5.1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rPr/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20"/>
                <w:szCs w:val="20"/>
              </w:rPr>
              <w:t>Оплата земельного налога на общественные земли. Расчитывается ежегодно, согласно справки о кадастровой стоимости общественных земель и коэффициэнта налога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right="140" w:hanging="0"/>
              <w:jc w:val="right"/>
              <w:rPr>
                <w:rFonts w:ascii="Calibri" w:hAnsi="Calibri"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42 000,00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68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42 000,00</w:t>
            </w:r>
          </w:p>
        </w:tc>
      </w:tr>
      <w:tr>
        <w:trPr>
          <w:trHeight w:val="633" w:hRule="exact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20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5.2</w:t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Налог УСН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right="140" w:hanging="0"/>
              <w:jc w:val="right"/>
              <w:rPr>
                <w:rFonts w:ascii="Calibri" w:hAnsi="Calibri"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150 000,00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68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9"/>
              <w:spacing w:lineRule="auto" w:line="240" w:before="0" w:after="0"/>
              <w:ind w:firstLine="220"/>
              <w:rPr>
                <w:rFonts w:ascii="Calibri" w:hAnsi="Calibri"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</w:rPr>
              <w:t>150 000,00</w:t>
            </w:r>
          </w:p>
        </w:tc>
      </w:tr>
    </w:tbl>
    <w:p>
      <w:pPr>
        <w:pStyle w:val="Normal"/>
        <w:spacing w:lineRule="exact" w:line="1" w:before="0" w:after="879"/>
        <w:rPr/>
      </w:pPr>
      <w:r>
        <w:rPr/>
      </w:r>
    </w:p>
    <w:p>
      <w:pPr>
        <w:pStyle w:val="33"/>
        <w:spacing w:before="0" w:after="340"/>
        <w:rPr/>
      </w:pPr>
      <w:r>
        <w:rPr/>
      </w:r>
    </w:p>
    <w:p>
      <w:pPr>
        <w:pStyle w:val="33"/>
        <w:spacing w:before="0" w:after="340"/>
        <w:rPr/>
      </w:pPr>
      <w:r>
        <w:rPr/>
      </w:r>
    </w:p>
    <w:p>
      <w:pPr>
        <w:pStyle w:val="33"/>
        <w:spacing w:before="0" w:after="340"/>
        <w:rPr/>
      </w:pPr>
      <w:r>
        <w:rPr/>
      </w:r>
    </w:p>
    <w:p>
      <w:pPr>
        <w:pStyle w:val="33"/>
        <w:spacing w:before="0" w:after="340"/>
        <w:rPr/>
      </w:pPr>
      <w:r>
        <w:rPr/>
      </w:r>
    </w:p>
    <w:p>
      <w:pPr>
        <w:pStyle w:val="33"/>
        <w:spacing w:before="0" w:after="340"/>
        <w:rPr/>
      </w:pPr>
      <w:r>
        <w:rPr/>
      </w:r>
    </w:p>
    <w:p>
      <w:pPr>
        <w:pStyle w:val="33"/>
        <w:spacing w:before="0" w:after="340"/>
        <w:rPr/>
      </w:pPr>
      <w:r>
        <w:rPr/>
      </w:r>
    </w:p>
    <w:p>
      <w:pPr>
        <w:pStyle w:val="Style35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РАСШИФРОВКА СТАТЕЙ</w:t>
      </w:r>
    </w:p>
    <w:p>
      <w:pPr>
        <w:pStyle w:val="Style35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5" w:name="bookmark6"/>
      <w:r>
        <w:rPr>
          <w:rFonts w:cs="Times New Roman" w:ascii="Times New Roman" w:hAnsi="Times New Roman"/>
          <w:b/>
          <w:bCs/>
          <w:sz w:val="28"/>
          <w:szCs w:val="28"/>
        </w:rPr>
        <w:t>членский взнос</w:t>
      </w:r>
      <w:bookmarkEnd w:id="5"/>
    </w:p>
    <w:p>
      <w:pPr>
        <w:pStyle w:val="Style35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35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РАСХОДЫ НА СОТРУДНИКОВ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СНТ</w:t>
      </w:r>
    </w:p>
    <w:p>
      <w:pPr>
        <w:pStyle w:val="Style35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24"/>
        <w:jc w:val="both"/>
        <w:rPr/>
      </w:pPr>
      <w:r>
        <w:rPr/>
        <w:tab/>
      </w:r>
      <w:r>
        <w:rPr>
          <w:rFonts w:ascii="Times New Roman" w:hAnsi="Times New Roman"/>
        </w:rPr>
        <w:tab/>
        <w:t>В 2022 году предполагаются в размере 897 826,88_руб. в год включая налоги.</w:t>
      </w:r>
    </w:p>
    <w:p>
      <w:pPr>
        <w:pStyle w:val="Style24"/>
        <w:jc w:val="center"/>
        <w:rPr/>
      </w:pPr>
      <w:r>
        <w:rPr>
          <w:rFonts w:ascii="Times New Roman" w:hAnsi="Times New Roman"/>
          <w:b/>
          <w:bCs/>
        </w:rPr>
        <w:t xml:space="preserve">Председатель Правления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СНТ</w:t>
      </w:r>
      <w:r>
        <w:rPr>
          <w:rFonts w:ascii="Times New Roman" w:hAnsi="Times New Roman"/>
          <w:b/>
          <w:bCs/>
        </w:rPr>
        <w:t>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Председателем Правления СНТ «КП «Европа» является Рудиков М.С. с вознаграждением в 50 000,00 руб. месяц. На данный момент, это минимальный размер оплаты по анализу рынка коттеджных поселков вознаграждения председателей, исходя из объема затрачиваемого времени на управление </w:t>
      </w:r>
      <w:r>
        <w:rPr>
          <w:rFonts w:eastAsia="Times New Roman" w:cs="Times New Roman" w:ascii="Times New Roman" w:hAnsi="Times New Roman"/>
        </w:rPr>
        <w:t>СНТ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</w:rPr>
        <w:t xml:space="preserve">и ведение дел </w:t>
      </w:r>
      <w:r>
        <w:rPr>
          <w:rFonts w:eastAsia="Times New Roman" w:cs="Times New Roman" w:ascii="Times New Roman" w:hAnsi="Times New Roman"/>
        </w:rPr>
        <w:t>СНТ</w:t>
      </w:r>
      <w:r>
        <w:rPr>
          <w:rFonts w:cs="Times New Roman" w:ascii="Times New Roman" w:hAnsi="Times New Roman"/>
        </w:rPr>
        <w:t xml:space="preserve"> в соответствии с Уставом </w:t>
      </w:r>
      <w:r>
        <w:rPr>
          <w:rFonts w:eastAsia="Times New Roman" w:cs="Times New Roman" w:ascii="Times New Roman" w:hAnsi="Times New Roman"/>
        </w:rPr>
        <w:t>СНТ</w:t>
      </w:r>
      <w:r>
        <w:rPr>
          <w:rFonts w:cs="Times New Roman" w:ascii="Times New Roman" w:hAnsi="Times New Roman"/>
        </w:rPr>
        <w:t xml:space="preserve">. Объем выполняемой Председателем работы предполагает работу в выходные дни, а также в ночное время (при устранении аварий и других чрезвычайных и особых ситуаций). Помимо исполнения обязанностей, предусмотренных Уставом </w:t>
      </w:r>
      <w:r>
        <w:rPr>
          <w:rFonts w:eastAsia="Times New Roman" w:cs="Times New Roman" w:ascii="Times New Roman" w:hAnsi="Times New Roman"/>
        </w:rPr>
        <w:t>СНТ</w:t>
      </w:r>
      <w:r>
        <w:rPr>
          <w:rFonts w:cs="Times New Roman" w:ascii="Times New Roman" w:hAnsi="Times New Roman"/>
        </w:rPr>
        <w:t xml:space="preserve">, Председатель Правления осуществляет сверку с жителями </w:t>
      </w:r>
      <w:r>
        <w:rPr>
          <w:rFonts w:eastAsia="Times New Roman" w:cs="Times New Roman" w:ascii="Times New Roman" w:hAnsi="Times New Roman"/>
        </w:rPr>
        <w:t>СНТ</w:t>
      </w:r>
      <w:r>
        <w:rPr>
          <w:rFonts w:cs="Times New Roman" w:ascii="Times New Roman" w:hAnsi="Times New Roman"/>
        </w:rPr>
        <w:t xml:space="preserve">, выдает справки, работает с должниками (устные переговоры, претензионная работа, выходы в судебные заседания), решает оперативные вопросы и задачи, поступающие от жителей, осуществляет стратегическое планирование развития </w:t>
      </w:r>
      <w:r>
        <w:rPr>
          <w:rFonts w:eastAsia="Times New Roman" w:cs="Times New Roman" w:ascii="Times New Roman" w:hAnsi="Times New Roman"/>
        </w:rPr>
        <w:t>СНТ</w:t>
      </w:r>
      <w:r>
        <w:rPr>
          <w:rFonts w:cs="Times New Roman" w:ascii="Times New Roman" w:hAnsi="Times New Roman"/>
        </w:rPr>
        <w:t xml:space="preserve"> и взаимодействие с органами гос. власти, контрагентами. </w:t>
      </w:r>
    </w:p>
    <w:p>
      <w:pPr>
        <w:pStyle w:val="Style35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35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РАСХОДЫ НА ВЕДЕНИЕ ДЕЯТЕЛЬНОСТИ СНТ</w:t>
      </w:r>
    </w:p>
    <w:p>
      <w:pPr>
        <w:pStyle w:val="Style35"/>
        <w:rPr/>
      </w:pPr>
      <w:r>
        <w:rPr/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 xml:space="preserve">Бухгалтерские услуги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СНТ</w:t>
      </w:r>
      <w:r>
        <w:rPr>
          <w:rFonts w:ascii="Times New Roman" w:hAnsi="Times New Roman"/>
          <w:b/>
          <w:bCs/>
        </w:rPr>
        <w:t>.</w:t>
      </w:r>
    </w:p>
    <w:p>
      <w:pPr>
        <w:pStyle w:val="Style35"/>
        <w:ind w:firstLine="567"/>
        <w:jc w:val="both"/>
        <w:rPr/>
      </w:pPr>
      <w:r>
        <w:rPr>
          <w:rFonts w:cs="Times New Roman" w:ascii="Times New Roman" w:hAnsi="Times New Roman"/>
        </w:rPr>
        <w:t xml:space="preserve">На сегодняшний день заключен договор на оказание бухгалтерских услуг с ИП Чижикова Н.А.   С учетом объема хозяйственных операций и отчетности в СНТ КП «Европа», а также ведения оперативного учета, начисления з/п, решение вопроса с жителями СНТ, взаимодействие с органами гос. власти, а также принимая текущий уровень инфляции данный размер платы предлагается считать обоснованным. По данным с сайта </w:t>
      </w:r>
      <w:r>
        <w:rPr>
          <w:rFonts w:cs="Times New Roman" w:ascii="Times New Roman" w:hAnsi="Times New Roman"/>
          <w:lang w:val="en-US"/>
        </w:rPr>
        <w:t>hh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  <w:r>
        <w:rPr>
          <w:rFonts w:cs="Times New Roman" w:ascii="Times New Roman" w:hAnsi="Times New Roman"/>
        </w:rPr>
        <w:t xml:space="preserve"> (хедхантер) минимальная з/п бухгалтера составляет 40 000 руб. С учетом налогов на заработную плату, штатный бухгалтер будет нам обходиться в 57 000 рублей.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Приобретение ноутбука для бухгалтерии.</w:t>
      </w:r>
      <w:r>
        <w:rPr>
          <w:rFonts w:ascii="Times New Roman" w:hAnsi="Times New Roman"/>
        </w:rPr>
        <w:t xml:space="preserve"> </w:t>
      </w:r>
    </w:p>
    <w:p>
      <w:pPr>
        <w:pStyle w:val="Style35"/>
        <w:ind w:firstLine="567"/>
        <w:jc w:val="both"/>
        <w:rPr/>
      </w:pPr>
      <w:r>
        <w:rPr>
          <w:rFonts w:cs="Times New Roman" w:ascii="Times New Roman" w:hAnsi="Times New Roman"/>
        </w:rPr>
        <w:t xml:space="preserve">Так как бухгалтерия и вся информация по начислениям, расходам и правами перехода собственности хранится не на стороннем сервисе, а на жестком диске ноутбука (для мобильной передачи от бухгатера бухгалтеру, при возможных сменах), нынешний ноутбук, купленный 5 лет назад не в полной мере справляется с задачами, требуется приобретение новой модели с увеличенной оперативной памятью и жестким диском. Поэтому, для обеспечения сохранности и ускорения работы бухгалтерии, а также передачи информации на сайт в личные кабинеты собственников предлагается приобретение ноутбука по цене, не превышающей 72 000 рублей.  </w:t>
      </w:r>
    </w:p>
    <w:p>
      <w:pPr>
        <w:pStyle w:val="Style35"/>
        <w:rPr/>
      </w:pPr>
      <w:r>
        <w:rPr/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Юридическое обслуживание.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2021 году сопровождение деятельности товарищества осуществлялось по договору с </w:t>
      </w:r>
      <w:r>
        <w:rPr>
          <w:rFonts w:eastAsia="Times New Roman" w:cs="Times New Roman" w:ascii="Times New Roman" w:hAnsi="Times New Roman"/>
        </w:rPr>
        <w:t xml:space="preserve">ООО </w:t>
      </w:r>
      <w:bookmarkStart w:id="6" w:name="__DdeLink__1841_3205234258"/>
      <w:r>
        <w:rPr>
          <w:rFonts w:eastAsia="Times New Roman" w:cs="Times New Roman" w:ascii="Times New Roman" w:hAnsi="Times New Roman"/>
        </w:rPr>
        <w:t>«АН «ЦК»</w:t>
      </w:r>
      <w:bookmarkEnd w:id="6"/>
      <w:r>
        <w:rPr>
          <w:rFonts w:cs="Times New Roman" w:ascii="Times New Roman" w:hAnsi="Times New Roman"/>
        </w:rPr>
        <w:t>, на сумму 1</w:t>
      </w:r>
      <w:r>
        <w:rPr>
          <w:rFonts w:eastAsia="Times New Roman" w:cs="Times New Roman" w:ascii="Times New Roman" w:hAnsi="Times New Roman"/>
        </w:rPr>
        <w:t xml:space="preserve">5 </w:t>
      </w:r>
      <w:r>
        <w:rPr>
          <w:rFonts w:cs="Times New Roman" w:ascii="Times New Roman" w:hAnsi="Times New Roman"/>
        </w:rPr>
        <w:t>000 руб. в месяц. Это абсолютно не оправданно минимальная оплата за объем проводимой работы в предыдущие годы.</w:t>
      </w:r>
    </w:p>
    <w:p>
      <w:pPr>
        <w:pStyle w:val="Style35"/>
        <w:ind w:firstLine="567"/>
        <w:jc w:val="both"/>
        <w:rPr/>
      </w:pPr>
      <w:r>
        <w:rPr>
          <w:rFonts w:cs="Times New Roman" w:ascii="Times New Roman" w:hAnsi="Times New Roman"/>
        </w:rPr>
        <w:t xml:space="preserve">В 2022 году предлагается установить размер оплаты юридического сопровождения СНТ в размере 25 000 рублей. В данную сумму входить полное ведение юридического сопровождения всех сделок, заключаемых договоров с контрагентами, анализ изменений законодательства в течение года. Помимо этого, существуют неоконченные вопросы по ЖСК Европа в решении которых так же принимается непосредственное участие юрист. Так же в эту сумму будет входить претензионная работа с собственниками земельных участков СНТ. По последним данным сайта </w:t>
      </w:r>
      <w:r>
        <w:rPr>
          <w:rFonts w:cs="Times New Roman" w:ascii="Times New Roman" w:hAnsi="Times New Roman"/>
          <w:lang w:val="en-US"/>
        </w:rPr>
        <w:t>hh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  <w:r>
        <w:rPr>
          <w:rFonts w:cs="Times New Roman" w:ascii="Times New Roman" w:hAnsi="Times New Roman"/>
        </w:rPr>
        <w:t xml:space="preserve"> (хэдхантер), минимальная зарплата юриста составляет 60-65 тыс. рублей в месяц. С учетом налогов, штатный юрист нам будет обходиться 94 000 рублей в месяц. Поэтому считаем целесообразным пролонгировать договор с</w:t>
      </w:r>
      <w:r>
        <w:rPr>
          <w:rFonts w:cs="Times New Roman" w:ascii="Times New Roman" w:hAnsi="Times New Roman"/>
          <w:lang w:val="ru-RU"/>
        </w:rPr>
        <w:t xml:space="preserve"> ООО </w:t>
      </w:r>
      <w:r>
        <w:rPr>
          <w:rFonts w:eastAsia="Times New Roman" w:cs="Times New Roman" w:ascii="Times New Roman" w:hAnsi="Times New Roman"/>
        </w:rPr>
        <w:t>«АН «ЦК» с увеличением оплаты юридического сопровождения до 25 000 руб. в месяц. НДС не предусмотрен.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Юридические услуги по судебным делам с должниками.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30 000 рублей — это обычная, даже ниже среднерыночной, цена участия в деле представителя в суде одной инстанции. В настоящем году предполагается не менее 5 судебных дел с крупными должниками. Это ориентировочная цифра, которая может измениться как в большую, так и в меньшую сторону. Статистика судебных дел 2019-2021 года показывает, что суды удовлетворяют требования СНТ и взыскивают с собственников долги и судебные издержки. Правление считает сотрудничество с юристами необходимым продуктивным и рекомендует продолжить такое сотрудничество в 202</w:t>
      </w:r>
      <w:r>
        <w:rPr>
          <w:rFonts w:eastAsia="Times New Roman" w:cs="Times New Roman" w:ascii="Times New Roman" w:hAnsi="Times New Roman"/>
        </w:rPr>
        <w:t>2</w:t>
      </w:r>
      <w:r>
        <w:rPr>
          <w:rFonts w:cs="Times New Roman" w:ascii="Times New Roman" w:hAnsi="Times New Roman"/>
        </w:rPr>
        <w:t xml:space="preserve"> году, выделив на эти цели 150 000 руб. в год. На основании вышеизложенного дополнительное финансирование этой работы в интересах Товарищества предлагается утвердить.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Охрана поселка. ЧОП Талион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Контрольно-пропускной пункт СНТ находится под круглосуточным наблюдением. В обязанности охраны входит контроль въезда и выезда машин, прием заявок на пропуск гостевых машин, контроль грузового въезда и организация пропуска строительной техники, мониторинг с камер видеофиксации, контроль работы шлагбаума, уборка площадки для ТБО и ТКО, уборка въездной группы в СНТ, контроль за колодцем. График работы — круглосуточно. Стоимость — 80 руб/сутки за одного человека. На данный момент, это минимальная рыночная стоимость данного вида услуг. Учитывая вышеизложенное, данный размер платы предлагается считать обоснованным.</w:t>
      </w:r>
    </w:p>
    <w:p>
      <w:pPr>
        <w:pStyle w:val="Style35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РАСХОДЫ НА СОДЕРЖАНИЕ ТЕРРИТОРИИ</w:t>
      </w:r>
    </w:p>
    <w:p>
      <w:pPr>
        <w:pStyle w:val="Style35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Проезды внутри СНТ (дороги) - Чистка дорог от снега. Учитывая настоящую зиму, необходимо заложить средства на возможную чистку до конца зимы и начало зимы 2023 года. Стоимость очистки зависит от высоты снежного покрова. Например, за расчистку грейдером всей территории СНТ при затратах на расчистку от 4 до 6 часов , плюс </w:t>
      </w:r>
      <w:r>
        <w:rPr>
          <w:rFonts w:cs="Times New Roman" w:ascii="Times New Roman" w:hAnsi="Times New Roman"/>
          <w:lang w:val="en-US"/>
        </w:rPr>
        <w:t>JCB</w:t>
      </w:r>
      <w:r>
        <w:rPr>
          <w:rFonts w:cs="Times New Roman" w:ascii="Times New Roman" w:hAnsi="Times New Roman"/>
        </w:rPr>
        <w:t xml:space="preserve"> на 4 часа -стоимость составляет от 18 000 до 23 000 руб. Цены рыночные и устанавливаются исполнителем самостоятельно, а исходя из того, что в СНТ при разной толщине снежного покрова затрачивается разное количество часов, в смету предлагается заложить стоимость одной уборки 1</w:t>
      </w:r>
      <w:r>
        <w:rPr>
          <w:rFonts w:eastAsia="Times New Roman" w:cs="Times New Roman" w:ascii="Times New Roman" w:hAnsi="Times New Roman"/>
        </w:rPr>
        <w:t>9 700</w:t>
      </w:r>
      <w:r>
        <w:rPr>
          <w:rFonts w:cs="Times New Roman" w:ascii="Times New Roman" w:hAnsi="Times New Roman"/>
        </w:rPr>
        <w:t xml:space="preserve"> руб. и количество </w:t>
      </w:r>
      <w:r>
        <w:rPr>
          <w:rFonts w:eastAsia="Times New Roman"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раз в текущем году. Услуга предоставляется ИП на основании заключенного договора с оформлением акта выполненных работ.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</w:rPr>
        <w:t>Затраты на текущее содержание общего имущества.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Данный вид затрат подразумевает под собой расходы, периодически возникающие в ходе ежедневной эксплуатации мест общего пользования и т. п. - </w:t>
      </w:r>
      <w:r>
        <w:rPr>
          <w:rFonts w:eastAsia="Calibri" w:cs="Times New Roman" w:ascii="Times New Roman" w:hAnsi="Times New Roman"/>
        </w:rPr>
        <w:t>ремонт помещения КПП, ремонт площадки ТБО, отсыпка внутрипоселковых и прилегающих дорог, замена ламп уличного освещения, обслуживание игровых комплексов детской площадки, обслуживание грузовых ворот и шлагбаума, топливо для бензогенератора будки охраны. Данный вид затрат заранее спрогнозировать не возможно, т. к. возникнуть они могут непредсказуемо и соответственно стоимость работ/материалов в момент надобности может отличаться от начала года. Поэтому, предлагается принять сумму в 480 000 рублей на 2022 год, как предположительно среднюю.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Обслуживание трансформаторных подстанций. </w:t>
      </w:r>
    </w:p>
    <w:p>
      <w:pPr>
        <w:pStyle w:val="Style35"/>
        <w:rPr/>
      </w:pPr>
      <w:r>
        <w:rPr/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 территории СНТ «КП «Европа» установлены 4 трансформаторных подстанции для трансформации входящего напряжения и обеспечения электрической энергией поселка, частных жилых домов. Содержание данного типа подстанций подразумевает их обслуживание два раза в год — весной/осенью. В обслуживание входит визуальный осмотр специалистом содержимого подстанции, проверка моментов затяжек оборудования и кабелей, замер необходимых рабочих показателей, контроль технических жидкостей (масла), при необходимости — их доливка. Данная процедура занимает порядка одного рабочего дня. Стоимость по обслуживанию одно подстанции специалистом составляет 15 000 рублей. При необходимости, покупается специальное масло на доливку/замену. Стоимость масла составляет 100 руб/л. При замене масла в одну ТП уходит 40 л масла. Стоимость трансформаторного масла с доставкой в 2020 году обходилось в 5 000 руб. </w:t>
      </w:r>
    </w:p>
    <w:p>
      <w:pPr>
        <w:pStyle w:val="Style35"/>
        <w:rPr/>
      </w:pPr>
      <w:r>
        <w:rPr/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Замена шлагбаума на центральном въезде.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Шлагбаум, который установлен на центральном въезде требует замены. Установлен он был еще в 2015 году. Несколько раз ремонтировался. Не редки случаи падения стрелы шлагбаума на автомобили. Пока без материального ущерба. Это связано с тем, что шлагбаум выработал свой ресурс и его ремонт обойдется в 80% стоимости нового шлагбаума. С учетом все возрастающей нагрузки на шлагбаум из-за появления новых собственников и застройки участков требуется установка нового шлагбаума. Новый шлагбаум вместе с установкой обойдется, приблизительно, в 150 000 рублей, исходя из типа привода и требуемой длины стрелы.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</w:rPr>
        <w:t>Ремонт корабля.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данном пункте идет речь о уличном декоративно-игровом комплексе «Корабль», находящемся в центре поселка, рядом с водоемом. Нижний и верхний ряд бревен сгнил и требует замены. Сама конструкция требует обновления лакокрасочного покрытия. Так же, требуется ремонт полового покрытия.</w:t>
      </w:r>
    </w:p>
    <w:p>
      <w:pPr>
        <w:pStyle w:val="Style35"/>
        <w:ind w:firstLine="567"/>
        <w:jc w:val="both"/>
        <w:rPr/>
      </w:pPr>
      <w:r>
        <w:rPr>
          <w:rFonts w:cs="Times New Roman" w:ascii="Times New Roman" w:hAnsi="Times New Roman"/>
        </w:rPr>
        <w:t>Планируемые работы: обработка бревна (окорка), укладка (рубка) с монтажом, обработка рубанком, шлифовка поверхности уложенных вновь брёвен, пропитка всей поверхности корабля, подготовка основания для установки ФБС. установка ФБС.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Ориентировочная стоимость с материалами составит 150 000 рублей. 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Затраты на уличное освещение.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Стоимость указана по среднему значению потребленной электроэнергии в 2021 году.</w:t>
      </w:r>
    </w:p>
    <w:p>
      <w:pPr>
        <w:pStyle w:val="Style24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5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РАСХОДЫ ОБЩЕХОЗЯЙСТВЕННЫЕ </w:t>
      </w:r>
      <w:r>
        <w:rPr>
          <w:rFonts w:cs="Times New Roman" w:ascii="Times New Roman" w:hAnsi="Times New Roman"/>
        </w:rPr>
        <w:t xml:space="preserve">предлагается установить в сумме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521</w:t>
      </w:r>
      <w:r>
        <w:rPr>
          <w:rFonts w:eastAsia="Calibri" w:cs="Times New Roman" w:ascii="Times New Roman" w:hAnsi="Times New Roman"/>
        </w:rPr>
        <w:t xml:space="preserve"> 673,12</w:t>
      </w:r>
      <w:r>
        <w:rPr>
          <w:rFonts w:cs="Times New Roman" w:ascii="Times New Roman" w:hAnsi="Times New Roman"/>
        </w:rPr>
        <w:t xml:space="preserve"> руб.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Услуги банка (обслуживание расчетного счета) 28 000 руб. в год.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Текущий тариф по обслуживанию расчетного счета в банке «УралСиб» составляет 1 200 руб. в месяц, комиссия за 1 платеж 20 руб. за перевод юр. лицу, 30 руб. за перевод физ. лицу за 1 перевод, 200 руб. в месяц за обслуживание корпоративной карты (пластик). Платежи за перевод налогов в бюджет - не считаются и являются бесплатными. Внесение наличных средств на расчетный счет 0,5% от вносимой суммы. С учетом увеличения операций по счету в предстоящем году предлагаем утвердить указанную сумму.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</w:rPr>
        <w:t>Покупка картриджа 600 руб./мес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печати документов Правление СНТ использует личное МФУ</w:t>
      </w:r>
      <w:r>
        <w:rPr>
          <w:rFonts w:cs="Times New Roman" w:ascii="Times New Roman" w:hAnsi="Times New Roman"/>
          <w:lang w:eastAsia="en-US" w:bidi="en-US"/>
        </w:rPr>
        <w:t xml:space="preserve"> </w:t>
      </w:r>
      <w:r>
        <w:rPr>
          <w:rFonts w:cs="Times New Roman" w:ascii="Times New Roman" w:hAnsi="Times New Roman"/>
        </w:rPr>
        <w:t xml:space="preserve">и личный принтер Рудикова М.С. </w:t>
      </w:r>
      <w:r>
        <w:rPr>
          <w:rFonts w:cs="Times New Roman" w:ascii="Times New Roman" w:hAnsi="Times New Roman"/>
          <w:lang w:val="en-US" w:eastAsia="en-US" w:bidi="en-US"/>
        </w:rPr>
        <w:t>HP</w:t>
      </w:r>
      <w:r>
        <w:rPr>
          <w:rFonts w:cs="Times New Roman" w:ascii="Times New Roman" w:hAnsi="Times New Roman"/>
          <w:lang w:eastAsia="en-US" w:bidi="en-US"/>
        </w:rPr>
        <w:t xml:space="preserve"> </w:t>
      </w:r>
      <w:r>
        <w:rPr>
          <w:rFonts w:cs="Times New Roman" w:ascii="Times New Roman" w:hAnsi="Times New Roman"/>
          <w:lang w:val="en-US" w:eastAsia="en-US" w:bidi="en-US"/>
        </w:rPr>
        <w:t>LaserJet</w:t>
      </w:r>
      <w:r>
        <w:rPr>
          <w:rFonts w:cs="Times New Roman" w:ascii="Times New Roman" w:hAnsi="Times New Roman"/>
          <w:lang w:eastAsia="en-US" w:bidi="en-US"/>
        </w:rPr>
        <w:t xml:space="preserve"> </w:t>
      </w:r>
      <w:r>
        <w:rPr>
          <w:rFonts w:cs="Times New Roman" w:ascii="Times New Roman" w:hAnsi="Times New Roman"/>
        </w:rPr>
        <w:t>1006. Совместимые картриджи к ним на 2000 страниц стоят от 600 руб. Оригинальный картридж к МФУ стоит 3 600 руб. на 2 500 страниц. Объем печати в месяц обычно составляет эти 2000 страниц и одного картриджа в месяц, как правило, хватает. Так же расход на картридж и бумагу идет для юридических услуг, на что выделяются денежные средства в подотчет юристу. Расход бумаги в некоторые месяцы составляет до 10 000 листов.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Электронная Бух отчетность (стоимость за год) 7 500 руб.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Для целей оперативности сдачи отчетности в органы ФНС, ПФР, ФСС и другие. Все отчеты готовятся в 1С, выгружаются в электронном виде и отправляются через сервис. 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Сайт-доменное имя+хостинг (стоимость за год). = 5 000 руб./год. </w:t>
      </w:r>
    </w:p>
    <w:p>
      <w:pPr>
        <w:pStyle w:val="Style24"/>
        <w:jc w:val="both"/>
        <w:rPr>
          <w:rFonts w:ascii="Times New Roman" w:hAnsi="Times New Roman"/>
          <w:b/>
          <w:b/>
          <w:bCs/>
          <w:lang w:eastAsia="en-US" w:bidi="en-US"/>
        </w:rPr>
      </w:pPr>
      <w:r>
        <w:rPr>
          <w:rFonts w:ascii="Times New Roman" w:hAnsi="Times New Roman"/>
          <w:b/>
          <w:bCs/>
          <w:lang w:eastAsia="en-US" w:bidi="en-US"/>
        </w:rPr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  <w:lang w:eastAsia="en-US" w:bidi="en-US"/>
        </w:rPr>
        <w:t>Информационное наполнение сайта.</w:t>
      </w:r>
    </w:p>
    <w:p>
      <w:pPr>
        <w:pStyle w:val="Style35"/>
        <w:ind w:firstLine="567"/>
        <w:jc w:val="both"/>
        <w:rPr>
          <w:rFonts w:ascii="Times New Roman" w:hAnsi="Times New Roman" w:cs="Times New Roman"/>
          <w:lang w:eastAsia="en-US" w:bidi="en-US"/>
        </w:rPr>
      </w:pPr>
      <w:r>
        <w:rPr>
          <w:rFonts w:cs="Times New Roman" w:ascii="Times New Roman" w:hAnsi="Times New Roman"/>
          <w:lang w:eastAsia="en-US" w:bidi="en-US"/>
        </w:rPr>
        <w:t>Работа специалиста из компании 1С-Рарус по формированию наполнения сайта новостями, документами, корректировки разделов и т. п.</w:t>
      </w:r>
    </w:p>
    <w:p>
      <w:pPr>
        <w:pStyle w:val="Style24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Канцелярские товары 1 000 в мес.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Для надлежащего хранения и оформления документов СНТ нуждается в папках, файлах, бумаге А4, ручках и прочих канцтоварах. Средняя цена на бумагу для принтера </w:t>
      </w:r>
      <w:r>
        <w:rPr>
          <w:rFonts w:cs="Times New Roman" w:ascii="Times New Roman" w:hAnsi="Times New Roman"/>
          <w:lang w:val="en-US" w:eastAsia="en-US" w:bidi="en-US"/>
        </w:rPr>
        <w:t>Svetocopy</w:t>
      </w:r>
      <w:r>
        <w:rPr>
          <w:rFonts w:cs="Times New Roman" w:ascii="Times New Roman" w:hAnsi="Times New Roman"/>
          <w:lang w:eastAsia="en-US" w:bidi="en-US"/>
        </w:rPr>
        <w:t xml:space="preserve"> </w:t>
      </w:r>
      <w:r>
        <w:rPr>
          <w:rFonts w:cs="Times New Roman" w:ascii="Times New Roman" w:hAnsi="Times New Roman"/>
        </w:rPr>
        <w:t xml:space="preserve">500 листов составляет 320 руб.*2 шт.= 640, Папки- регистратора с шириной корешка 80 мм - 200 руб/шт., файлы 100 шт. - 192 руб.* 2 уп.=384 руб. 580+200+384 =1 164 руб. </w:t>
      </w:r>
    </w:p>
    <w:p>
      <w:pPr>
        <w:pStyle w:val="Style24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24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</w:rPr>
        <w:t>Судебные расходы.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Расходы, связанные на получение выписок на земельные участки по собственникам, имеющим задолженность перед СНТ. Отправка, прием корреспонденции. Госпошлины.</w:t>
      </w:r>
    </w:p>
    <w:p>
      <w:pPr>
        <w:pStyle w:val="Style35"/>
        <w:rPr/>
      </w:pPr>
      <w:r>
        <w:rPr/>
      </w:r>
    </w:p>
    <w:p>
      <w:pPr>
        <w:pStyle w:val="Style24"/>
        <w:jc w:val="both"/>
        <w:rPr/>
      </w:pPr>
      <w:r>
        <w:rPr>
          <w:rFonts w:ascii="Times New Roman" w:hAnsi="Times New Roman"/>
          <w:b/>
          <w:bCs/>
        </w:rPr>
        <w:t>Финансовый резерв.</w:t>
      </w:r>
    </w:p>
    <w:p>
      <w:pPr>
        <w:pStyle w:val="Style35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Ни для кого не секрет, что из года в год, затраты, планируемые сметой, СНТ не может реализовать из-за низкой платежеспособности собственников, в каких-то случаях принципиальностью неплательщиков и разгильдяйством. </w:t>
      </w:r>
    </w:p>
    <w:p>
      <w:pPr>
        <w:pStyle w:val="Style35"/>
        <w:ind w:firstLine="567"/>
        <w:jc w:val="both"/>
        <w:rPr/>
      </w:pPr>
      <w:r>
        <w:rPr>
          <w:rFonts w:cs="Times New Roman" w:ascii="Times New Roman" w:hAnsi="Times New Roman"/>
        </w:rPr>
        <w:t xml:space="preserve">На этот случай данный резерв необходим! Он позволяет производить, хотя бы фиксированные ежемесячные затраты СНТ на охрану, бухгалтерию, электроэнергию. А также аккумулировать финансы и производить, пусть и с запозданием, часть запланированных мероприятий по поселку! Предлагается данный резерв утвердить в размере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365</w:t>
      </w:r>
      <w:r>
        <w:rPr>
          <w:rFonts w:eastAsia="Calibri" w:cs="Times New Roman" w:ascii="Times New Roman" w:hAnsi="Times New Roman"/>
        </w:rPr>
        <w:t xml:space="preserve"> 673,12 руб в год.</w:t>
      </w:r>
    </w:p>
    <w:p>
      <w:pPr>
        <w:pStyle w:val="Style24"/>
        <w:jc w:val="center"/>
        <w:rPr>
          <w:rFonts w:ascii="Times New Roman" w:hAnsi="Times New Roman" w:eastAsia="Calibri" w:cs="Calibri" w:cstheme="minorHAnsi"/>
          <w:b/>
          <w:b/>
          <w:bCs/>
        </w:rPr>
      </w:pPr>
      <w:r>
        <w:rPr/>
      </w:r>
    </w:p>
    <w:p>
      <w:pPr>
        <w:pStyle w:val="Style24"/>
        <w:jc w:val="center"/>
        <w:rPr>
          <w:b/>
          <w:b/>
          <w:bCs/>
        </w:rPr>
      </w:pPr>
      <w:r>
        <w:rPr>
          <w:rFonts w:eastAsia="Calibri" w:cs="Calibri" w:ascii="Times New Roman" w:hAnsi="Times New Roman" w:cstheme="minorHAnsi"/>
          <w:b/>
          <w:bCs/>
        </w:rPr>
        <w:t>НАЛОГИ</w:t>
      </w:r>
    </w:p>
    <w:p>
      <w:pPr>
        <w:pStyle w:val="Style24"/>
        <w:jc w:val="both"/>
        <w:rPr/>
      </w:pPr>
      <w:r>
        <w:rPr>
          <w:rFonts w:eastAsia="Calibri" w:cs="Calibri" w:ascii="Times New Roman" w:hAnsi="Times New Roman" w:cstheme="minorHAnsi"/>
          <w:b/>
          <w:bCs/>
        </w:rPr>
        <w:t>Земельный налог</w:t>
      </w:r>
      <w:r>
        <w:rPr>
          <w:rFonts w:eastAsia="Calibri" w:cs="Calibri" w:ascii="Times New Roman" w:hAnsi="Times New Roman" w:cstheme="minorHAnsi"/>
        </w:rPr>
        <w:t>.</w:t>
      </w:r>
    </w:p>
    <w:p>
      <w:pPr>
        <w:pStyle w:val="Style35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Налог на земельные участки, находящиеся в собственности СНТ.</w:t>
      </w:r>
    </w:p>
    <w:p>
      <w:pPr>
        <w:pStyle w:val="Style24"/>
        <w:jc w:val="both"/>
        <w:rPr>
          <w:rFonts w:ascii="Times New Roman" w:hAnsi="Times New Roman" w:eastAsia="Calibri" w:cs="Calibri" w:cstheme="minorHAnsi"/>
          <w:b/>
          <w:b/>
          <w:bCs/>
        </w:rPr>
      </w:pPr>
      <w:r>
        <w:rPr>
          <w:rFonts w:eastAsia="Calibri" w:cs="Calibri" w:cstheme="minorHAnsi" w:ascii="Times New Roman" w:hAnsi="Times New Roman"/>
          <w:b/>
          <w:bCs/>
        </w:rPr>
      </w:r>
    </w:p>
    <w:p>
      <w:pPr>
        <w:pStyle w:val="Style24"/>
        <w:jc w:val="both"/>
        <w:rPr>
          <w:b/>
          <w:b/>
          <w:bCs/>
        </w:rPr>
      </w:pPr>
      <w:r>
        <w:rPr>
          <w:rFonts w:eastAsia="Calibri" w:cs="Calibri" w:ascii="Times New Roman" w:hAnsi="Times New Roman" w:cstheme="minorHAnsi"/>
          <w:b/>
          <w:bCs/>
        </w:rPr>
        <w:t>Налог УСН</w:t>
      </w:r>
    </w:p>
    <w:p>
      <w:pPr>
        <w:pStyle w:val="Style35"/>
        <w:ind w:firstLine="567"/>
        <w:jc w:val="both"/>
        <w:rPr/>
      </w:pPr>
      <w:r>
        <w:rPr>
          <w:rFonts w:cs="Times New Roman" w:ascii="Times New Roman" w:hAnsi="Times New Roman"/>
        </w:rPr>
        <w:t>Налог, возникающий с прибыли — продажи земельных участков, получении пеней. В 2022 году планируется к продаже 1 земельный участок СНТ и получение окончательного расчета в размере 400 000 руб по проданному участку в 2021 году. Так же, планируется поступление по судебным делам от должников сумм, в том числе пеней, которые так же являются доходом СНТ.</w:t>
      </w:r>
    </w:p>
    <w:sectPr>
      <w:type w:val="nextPage"/>
      <w:pgSz w:w="11906" w:h="16838"/>
      <w:pgMar w:left="1110" w:right="821" w:header="0" w:top="854" w:footer="0" w:bottom="920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>
    <w:doNotExpandShiftReturn/>
  </w:compat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№3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Заголовок №2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70C0"/>
      <w:sz w:val="30"/>
      <w:szCs w:val="30"/>
      <w:u w:val="none"/>
    </w:rPr>
  </w:style>
  <w:style w:type="character" w:styleId="Style14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 w:customStyle="1">
    <w:name w:val="Основной текст (3)_"/>
    <w:basedOn w:val="DefaultParagraphFont"/>
    <w:link w:val="3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2E74B5"/>
      <w:sz w:val="32"/>
      <w:szCs w:val="32"/>
      <w:u w:val="none"/>
    </w:rPr>
  </w:style>
  <w:style w:type="character" w:styleId="4" w:customStyle="1">
    <w:name w:val="Основной текст (4)_"/>
    <w:basedOn w:val="DefaultParagraphFont"/>
    <w:link w:val="40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5" w:customStyle="1">
    <w:name w:val="Друго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1" w:customStyle="1">
    <w:name w:val="Заголовок №1_"/>
    <w:basedOn w:val="DefaultParagraphFont"/>
    <w:link w:val="10"/>
    <w:qFormat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color w:val="2E74B5"/>
      <w:sz w:val="32"/>
      <w:szCs w:val="32"/>
      <w:u w:val="single"/>
    </w:rPr>
  </w:style>
  <w:style w:type="character" w:styleId="21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6" w:customStyle="1">
    <w:name w:val="Подпись к картинке_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7" w:customStyle="1">
    <w:name w:val="Текст концевой сноски Знак"/>
    <w:basedOn w:val="DefaultParagraphFont"/>
    <w:uiPriority w:val="99"/>
    <w:semiHidden/>
    <w:qFormat/>
    <w:rsid w:val="0045166a"/>
    <w:rPr>
      <w:color w:val="000000"/>
      <w:sz w:val="20"/>
      <w:szCs w:val="20"/>
    </w:rPr>
  </w:style>
  <w:style w:type="character" w:styleId="Style18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45166a"/>
    <w:rPr>
      <w:vertAlign w:val="superscript"/>
    </w:rPr>
  </w:style>
  <w:style w:type="character" w:styleId="Style19" w:customStyle="1">
    <w:name w:val="Символ концевой сноски"/>
    <w:qFormat/>
    <w:rPr/>
  </w:style>
  <w:style w:type="character" w:styleId="Style20" w:customStyle="1">
    <w:name w:val="Привязка сноски"/>
    <w:rPr>
      <w:vertAlign w:val="superscript"/>
    </w:rPr>
  </w:style>
  <w:style w:type="character" w:styleId="Style21" w:customStyle="1">
    <w:name w:val="Символ сноски"/>
    <w:qFormat/>
    <w:rPr/>
  </w:style>
  <w:style w:type="character" w:styleId="Style22" w:customStyle="1">
    <w:name w:val="Символ нумерации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 Unicode M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 Unicode MS"/>
    </w:rPr>
  </w:style>
  <w:style w:type="paragraph" w:styleId="Style28">
    <w:name w:val="Title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32" w:customStyle="1">
    <w:name w:val="Заголовок №3"/>
    <w:basedOn w:val="Normal"/>
    <w:link w:val="30"/>
    <w:qFormat/>
    <w:pPr>
      <w:spacing w:before="0" w:after="190"/>
      <w:ind w:left="1500" w:hanging="0"/>
      <w:outlineLvl w:val="2"/>
    </w:pPr>
    <w:rPr>
      <w:rFonts w:ascii="Times New Roman" w:hAnsi="Times New Roman" w:eastAsia="Times New Roman" w:cs="Times New Roman"/>
      <w:sz w:val="28"/>
      <w:szCs w:val="28"/>
    </w:rPr>
  </w:style>
  <w:style w:type="paragraph" w:styleId="22" w:customStyle="1">
    <w:name w:val="Заголовок №2"/>
    <w:basedOn w:val="Normal"/>
    <w:link w:val="20"/>
    <w:qFormat/>
    <w:pPr>
      <w:spacing w:before="0" w:after="290"/>
      <w:jc w:val="center"/>
      <w:outlineLvl w:val="1"/>
    </w:pPr>
    <w:rPr>
      <w:rFonts w:ascii="Times New Roman" w:hAnsi="Times New Roman" w:eastAsia="Times New Roman" w:cs="Times New Roman"/>
      <w:color w:val="0070C0"/>
      <w:sz w:val="30"/>
      <w:szCs w:val="30"/>
    </w:rPr>
  </w:style>
  <w:style w:type="paragraph" w:styleId="11" w:customStyle="1">
    <w:name w:val="Основной текст1"/>
    <w:basedOn w:val="Normal"/>
    <w:link w:val="1"/>
    <w:qFormat/>
    <w:pPr>
      <w:spacing w:lineRule="auto" w:line="259" w:before="0" w:after="220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paragraph" w:styleId="33" w:customStyle="1">
    <w:name w:val="Основной текст (3)"/>
    <w:basedOn w:val="Normal"/>
    <w:qFormat/>
    <w:pPr>
      <w:spacing w:before="0" w:after="290"/>
      <w:jc w:val="center"/>
    </w:pPr>
    <w:rPr>
      <w:rFonts w:ascii="Times New Roman" w:hAnsi="Times New Roman" w:eastAsia="Times New Roman" w:cs="Times New Roman"/>
      <w:color w:val="2E74B5"/>
      <w:sz w:val="32"/>
      <w:szCs w:val="32"/>
    </w:rPr>
  </w:style>
  <w:style w:type="paragraph" w:styleId="41" w:customStyle="1">
    <w:name w:val="Основной текст (4)"/>
    <w:basedOn w:val="Normal"/>
    <w:link w:val="4"/>
    <w:qFormat/>
    <w:pPr>
      <w:spacing w:before="0" w:after="240"/>
      <w:jc w:val="center"/>
    </w:pPr>
    <w:rPr>
      <w:rFonts w:ascii="Calibri" w:hAnsi="Calibri" w:eastAsia="Calibri" w:cs="Calibri"/>
      <w:sz w:val="20"/>
      <w:szCs w:val="20"/>
    </w:rPr>
  </w:style>
  <w:style w:type="paragraph" w:styleId="Style29" w:customStyle="1">
    <w:name w:val="Другое"/>
    <w:basedOn w:val="Normal"/>
    <w:qFormat/>
    <w:pPr>
      <w:spacing w:lineRule="auto" w:line="259" w:before="0" w:after="220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paragraph" w:styleId="12" w:customStyle="1">
    <w:name w:val="Заголовок №1"/>
    <w:basedOn w:val="Normal"/>
    <w:qFormat/>
    <w:pPr>
      <w:spacing w:before="0" w:after="340"/>
      <w:jc w:val="center"/>
      <w:outlineLvl w:val="0"/>
    </w:pPr>
    <w:rPr>
      <w:rFonts w:ascii="Times New Roman" w:hAnsi="Times New Roman" w:eastAsia="Times New Roman" w:cs="Times New Roman"/>
      <w:smallCaps/>
      <w:color w:val="2E74B5"/>
      <w:sz w:val="32"/>
      <w:szCs w:val="32"/>
      <w:u w:val="single"/>
    </w:rPr>
  </w:style>
  <w:style w:type="paragraph" w:styleId="23" w:customStyle="1">
    <w:name w:val="Основной текст (2)"/>
    <w:basedOn w:val="Normal"/>
    <w:qFormat/>
    <w:pPr>
      <w:spacing w:lineRule="auto" w:line="259"/>
      <w:ind w:left="1140" w:firstLine="460"/>
    </w:pPr>
    <w:rPr>
      <w:rFonts w:ascii="Times New Roman" w:hAnsi="Times New Roman" w:eastAsia="Times New Roman" w:cs="Times New Roman"/>
      <w:sz w:val="22"/>
      <w:szCs w:val="22"/>
    </w:rPr>
  </w:style>
  <w:style w:type="paragraph" w:styleId="Style30" w:customStyle="1">
    <w:name w:val="Подпись к картинке"/>
    <w:basedOn w:val="Normal"/>
    <w:qFormat/>
    <w:pPr/>
    <w:rPr>
      <w:rFonts w:ascii="Times New Roman" w:hAnsi="Times New Roman" w:eastAsia="Times New Roman" w:cs="Times New Roman"/>
      <w:i/>
      <w:i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ea5d3a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31">
    <w:name w:val="Endnote Text"/>
    <w:basedOn w:val="Normal"/>
    <w:uiPriority w:val="99"/>
    <w:semiHidden/>
    <w:unhideWhenUsed/>
    <w:rsid w:val="0045166a"/>
    <w:pPr/>
    <w:rPr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Верхний и нижний колонтитулы"/>
    <w:basedOn w:val="Normal"/>
    <w:qFormat/>
    <w:pPr>
      <w:suppressLineNumbers/>
      <w:tabs>
        <w:tab w:val="clear" w:pos="408"/>
        <w:tab w:val="center" w:pos="5528" w:leader="none"/>
        <w:tab w:val="right" w:pos="11056" w:leader="none"/>
      </w:tabs>
    </w:pPr>
    <w:rPr/>
  </w:style>
  <w:style w:type="paragraph" w:styleId="Style36">
    <w:name w:val="Header"/>
    <w:basedOn w:val="Style35"/>
    <w:pPr/>
    <w:rPr/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Application>LibreOffice/6.3.2.2$Windows_X86_64 LibreOffice_project/98b30e735bda24bc04ab42594c85f7fd8be07b9c</Application>
  <Pages>7</Pages>
  <Words>2552</Words>
  <Characters>15747</Characters>
  <CharactersWithSpaces>18093</CharactersWithSpaces>
  <Paragraphs>284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2021-01-20T07:55:00Z</dcterms:created>
  <dc:creator>ÐœÐŸÐłÐ’</dc:creator>
  <dc:description/>
  <dc:language>ru-RU</dc:language>
  <cp:lastModifiedBy/>
  <cp:lastPrinted>2021-02-03T16:58:00Z</cp:lastPrinted>
  <dcterms:modified xsi:type="dcterms:W3CDTF">2022-04-14T17:34:31Z</dcterms:modified>
  <cp:revision>161</cp:revision>
  <dc:subject/>
  <dc:title>Microsoft Word - Ð¤Ð�Ðž Ñ†Ð¼ÐµÑ‡Ð° Ð¡ÐšÐ¢ 2020 Ð³Ð¾Ð´ v1.3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